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5FCCA6" w14:textId="2BAFD95E" w:rsidR="00494353" w:rsidRDefault="001B722A" w:rsidP="001B722A">
      <w:r>
        <w:t>Raportem bieżącym ESPI nr 35/2025 z dnia 08 maja 2025 roku Emitent dokonał aktualizacji Strategii.</w:t>
      </w:r>
      <w:r w:rsidRPr="001B722A">
        <w:br/>
      </w:r>
      <w:r w:rsidRPr="001B722A">
        <w:br/>
        <w:t>Spółka dokonała aktualizacji swojej Strategii w odpowiedzi na dynamicznie zmieniające się otoczenie rynkowe oraz identyfikację atrakcyjnych celów akwizycyjnych, mając na celu maksymalizację jej wartości dla akcjonariuszy oraz przyspieszenia rozwoju operacyjnego, a także w związku z decyzją o pozyskaniu kapitału poprzez emisję akcji z prawem poboru jako kluczowego narzędzia finansowania planowanych działań.</w:t>
      </w:r>
      <w:r w:rsidRPr="001B722A">
        <w:br/>
      </w:r>
      <w:r w:rsidRPr="001B722A">
        <w:br/>
        <w:t>1. Cele akwizycyjne i rozwój działalności</w:t>
      </w:r>
      <w:r w:rsidRPr="001B722A">
        <w:br/>
        <w:t>Emitent dokonał identyfikacji podmiotów, których potencjalne przejęcie umożliwi istotne zwiększenie skali działalności, poszerzenie oferty produktowej i usługowej oraz wejście na nowe, atrakcyjne rynki. Planowane akwizycje stanowią element długofalowej strategii budowy silnego podmiotu operującego w segmentach o wysokim potencjale wzrostu. Emitent ocenia, że integracja z wybranymi podmiotami może przynieść wymierne efekty finansowe już w perspektywie krótkoterminowej, jednocześnie wzmacniając fundamenty dla dalszego, stabilnego rozwoju w kolejnych latach. Planowane przejęcia nie tylko przyspieszą realizację celów strategicznych, ale także zwiększą elastyczność operacyjną i odporność biznesową Emitenta na zmienne warunki rynkowe.</w:t>
      </w:r>
      <w:r w:rsidRPr="001B722A">
        <w:br/>
      </w:r>
      <w:r w:rsidRPr="001B722A">
        <w:br/>
        <w:t>2. Realizacja istniejących kontraktów i partnerstw</w:t>
      </w:r>
      <w:r w:rsidRPr="001B722A">
        <w:br/>
        <w:t>Spółka pozostaje w pełni skoncentrowana na skutecznej realizacji już podpisanych umów handlowych i projektowych, które stanowią solidny fundament wzrostu przychodów oraz potwierdzają wiarygodność rynkową i operacyjną Emitenta. Umowy te obejmują zarówno długoterminowe kontrakty z kluczowymi partnerami, jak i zlecenia o wysokim potencjale marżowym, których sukcesywna realizacja przekłada się bezpośrednio na wzrost wartości przedsiębiorstwa.</w:t>
      </w:r>
      <w:r w:rsidRPr="001B722A">
        <w:br/>
      </w:r>
      <w:r w:rsidRPr="001B722A">
        <w:br/>
        <w:t>Równolegle Emitent prowadzi działania zmierzające do pozyskania nowych partnerów strategicznych, których zaangażowanie może w istotny sposób wpłynąć na skalę, stabilność i perspektywy rozwoju działalności. Budowanie partnerstw odbywa się w oparciu o precyzyjnie dobrane kryteria obejmujące m.in. dostęp do nowych rynków, wsparcie technologiczne, potencjał sprzedażowy oraz możliwość wspólnego rozwoju innowacyjnych produktów lub usług.</w:t>
      </w:r>
      <w:r w:rsidRPr="001B722A">
        <w:br/>
      </w:r>
      <w:r w:rsidRPr="001B722A">
        <w:br/>
        <w:t>Planowane partnerstwa mają charakter zarówno komercyjny, jak i strategiczny – są nakierowane nie tylko na zwiększenie bieżących przychodów, ale również na rozwój nowych kanałów dystrybucji, poprawę efektywności operacyjnej i wzmocnienie pozycji konkurencyjnej Emitenta w kluczowych segmentach rynku.</w:t>
      </w:r>
      <w:r w:rsidRPr="001B722A">
        <w:br/>
      </w:r>
      <w:r w:rsidRPr="001B722A">
        <w:br/>
      </w:r>
      <w:r w:rsidRPr="001B722A">
        <w:lastRenderedPageBreak/>
        <w:t>Dzięki realizacji podpisanych kontraktów oraz poszerzaniu bazy partnerstw, Emitent buduje skalowalny model działalności oparty na stabilnych, powtarzalnych źródłach przychodów, co jest zgodne z jego długofalową strategią wzrostu i budowy trwałej wartości dla akcjonariuszy.</w:t>
      </w:r>
      <w:r w:rsidRPr="001B722A">
        <w:br/>
      </w:r>
      <w:r w:rsidRPr="001B722A">
        <w:br/>
        <w:t>3. Finansowanie rozwoju – emisja akcji z prawem poboru</w:t>
      </w:r>
      <w:r w:rsidRPr="001B722A">
        <w:br/>
        <w:t>Z uwagi na fakt, iż warunki finansowania dłużnego, w tym w szczególności oprocentowanie i wymagane zabezpieczenia nie są optymalne dla Spółki wobec zakładanej dynamiki jej wzrostu, a także mając na celu unikanie podnoszenia poziomu zadłużenia Emitenta, które mogłoby niekorzystnie wypłynąć na strukturę bilansu oraz ocenę ryzyka działalności, Spółka podjęła kroki w celu przeprowadzenia emisji akcji z prawem poboru. Powyższa decyzja oznacza, iż każdy z obecnych akcjonariuszy Spółki otrzyma możliwość objęcia nowych akcji Emitenta proporcjonalnie do liczby akcji już posiadanych. Przyjęta opcja finansowania jest odpowiedzią na wyrażane przez akcjonariuszy Spółki zainteresowanie wsparciem jej rozwoju.</w:t>
      </w:r>
      <w:r w:rsidRPr="001B722A">
        <w:br/>
      </w:r>
      <w:r w:rsidRPr="001B722A">
        <w:br/>
        <w:t>Mając na uwadze zasadę równego traktowania, Spółka zdecydowała się na przeprowadzenie emisji z prawem poboru, co zapewni każdemu akcjonariuszowi uczciwy i proporcjonalny dostęp do objęcia akcji nowej serii. Taka forma emisji akcji zapewni transparentność i równość, tj. wszyscy aktualni inwestorzy, niezależnie od wielkości zaangażowania, będą mogli uzyskać taki sam dostęp do uczestnictwa w dalszym wzroście wartości Spółki. Emisja akcji z zachowaniem prawa pobory stanowi zatem wyraz zabezpieczenia interesu dotychczasowych akcjonariuszy i potwierdza długofalowe podejście i partnerskie relacje Emitenta z inwestorami.</w:t>
      </w:r>
      <w:r w:rsidRPr="001B722A">
        <w:br/>
      </w:r>
      <w:r w:rsidRPr="001B722A">
        <w:br/>
        <w:t>Emitent zakłada, iż pozyskany w ten sposób kapitał zostanie przeznaczony na realizację przejęć wybranych celów akwizycyjnych, finansowanie rozwoju operacyjnego wynikającego z zawartych umów, wzmocnienie pozycji Spółki w negocjacjach z partnerami strategicznymi, a także zwiększenie elastyczności finansowej Spółki.</w:t>
      </w:r>
    </w:p>
    <w:sectPr w:rsidR="004943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22A"/>
    <w:rsid w:val="00087F4B"/>
    <w:rsid w:val="001B722A"/>
    <w:rsid w:val="003448A5"/>
    <w:rsid w:val="00374EAB"/>
    <w:rsid w:val="00494353"/>
    <w:rsid w:val="00637467"/>
    <w:rsid w:val="00B401D1"/>
    <w:rsid w:val="00BB3ED9"/>
    <w:rsid w:val="00C80F2E"/>
    <w:rsid w:val="00CA6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C132B"/>
  <w15:chartTrackingRefBased/>
  <w15:docId w15:val="{C3B66A5A-CC0B-44A6-A9AF-F422B030A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pl-PL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B72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B72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B72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B72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B72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B72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B72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B72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B72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B72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B72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B72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B722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B722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B722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B722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B722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B722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B72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B72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B72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B72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B72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B722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B722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B722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B72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B722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B722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642</Words>
  <Characters>3856</Characters>
  <Application>Microsoft Office Word</Application>
  <DocSecurity>0</DocSecurity>
  <Lines>32</Lines>
  <Paragraphs>8</Paragraphs>
  <ScaleCrop>false</ScaleCrop>
  <Company/>
  <LinksUpToDate>false</LinksUpToDate>
  <CharactersWithSpaces>4490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Brożek</dc:creator>
  <cp:keywords/>
  <dc:description/>
  <cp:lastModifiedBy>Aleksandra Brożek</cp:lastModifiedBy>
  <cp:revision>1</cp:revision>
  <dcterms:created xsi:type="dcterms:W3CDTF">2025-11-14T11:16:00Z</dcterms:created>
  <dcterms:modified xsi:type="dcterms:W3CDTF">2025-11-14T11:18:00Z</dcterms:modified>
</cp:coreProperties>
</file>